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61" w:rsidRDefault="00791461" w:rsidP="00791461">
      <w:pPr>
        <w:ind w:right="88"/>
        <w:jc w:val="center"/>
      </w:pPr>
      <w:r>
        <w:rPr>
          <w:b/>
          <w:bCs/>
          <w:u w:val="single"/>
        </w:rPr>
        <w:t>Convention entre la SROR et les cercles ASBL</w:t>
      </w:r>
    </w:p>
    <w:p w:rsidR="00791461" w:rsidRDefault="00791461" w:rsidP="00510316">
      <w:pPr>
        <w:pStyle w:val="Inhoudtabel"/>
      </w:pPr>
    </w:p>
    <w:p w:rsidR="00510316" w:rsidRDefault="00510316" w:rsidP="00510316">
      <w:pPr>
        <w:pStyle w:val="Inhoudtabel"/>
      </w:pPr>
      <w:r>
        <w:t xml:space="preserve">L'ASBL Société Royale des Officiers Retraités et </w:t>
      </w:r>
      <w:r w:rsidRPr="00791461">
        <w:rPr>
          <w:b/>
        </w:rPr>
        <w:t>l’</w:t>
      </w:r>
      <w:r w:rsidR="00791461">
        <w:rPr>
          <w:b/>
        </w:rPr>
        <w:t>ASBL SROR NAMUR</w:t>
      </w:r>
      <w:r>
        <w:t xml:space="preserve"> poursuivent les mêmes buts et déclarent vouloir coopérer étroitement sous les conditions suivantes :</w:t>
      </w:r>
    </w:p>
    <w:p w:rsidR="00510316" w:rsidRDefault="00510316" w:rsidP="00510316">
      <w:pPr>
        <w:pStyle w:val="Inhoudtabel"/>
      </w:pPr>
    </w:p>
    <w:p w:rsidR="00510316" w:rsidRDefault="00510316" w:rsidP="00510316">
      <w:pPr>
        <w:pStyle w:val="Inhoudtabel"/>
        <w:spacing w:after="57"/>
      </w:pPr>
      <w:r>
        <w:rPr>
          <w:b/>
          <w:bCs/>
          <w:u w:val="single"/>
        </w:rPr>
        <w:t>Article 1 : Qualité de membre</w:t>
      </w:r>
    </w:p>
    <w:p w:rsidR="00510316" w:rsidRDefault="00510316" w:rsidP="005A129A">
      <w:pPr>
        <w:pStyle w:val="Inhoudtabel"/>
      </w:pPr>
      <w:r>
        <w:t>Les membres de l’</w:t>
      </w:r>
      <w:r w:rsidR="00791461">
        <w:t>ASBL SROR NAMUR</w:t>
      </w:r>
      <w:r>
        <w:t xml:space="preserve"> </w:t>
      </w:r>
      <w:r>
        <w:t xml:space="preserve">qui le désirent peuvent devenir membre </w:t>
      </w:r>
      <w:r w:rsidR="005A129A">
        <w:t xml:space="preserve">effectif ou adhérent de la </w:t>
      </w:r>
      <w:r>
        <w:t>SROR moyennant le paiement des  «cotisations individuelles» fixées  par l'ASBL SROR, pour  autant qu’ils répondent aux conditions pour être membre de cette association. Ces cotisations seront perçues annuellement  par l’</w:t>
      </w:r>
      <w:r w:rsidR="00791461">
        <w:t>ASBL SROR NAMUR</w:t>
      </w:r>
      <w:r>
        <w:t xml:space="preserve">  qui les transmettra, ainsi que la liste des membres à la SROR ASBL. </w:t>
      </w:r>
    </w:p>
    <w:p w:rsidR="00510316" w:rsidRDefault="00510316" w:rsidP="005A129A">
      <w:pPr>
        <w:pStyle w:val="Inhoudtabel"/>
      </w:pPr>
      <w:r>
        <w:t>Ces membres sont soumis aux mêmes statuts et ROI que le membre SROR ASBL.</w:t>
      </w:r>
    </w:p>
    <w:p w:rsidR="00510316" w:rsidRDefault="00510316" w:rsidP="00510316">
      <w:pPr>
        <w:pStyle w:val="Inhoudtabel"/>
      </w:pPr>
    </w:p>
    <w:p w:rsidR="00510316" w:rsidRDefault="00510316" w:rsidP="00510316">
      <w:pPr>
        <w:pStyle w:val="Inhoudtabel"/>
      </w:pPr>
    </w:p>
    <w:p w:rsidR="00510316" w:rsidRDefault="00510316" w:rsidP="00510316">
      <w:pPr>
        <w:pStyle w:val="Inhoudtabel"/>
        <w:spacing w:after="57"/>
      </w:pPr>
      <w:r>
        <w:rPr>
          <w:b/>
          <w:u w:val="single"/>
        </w:rPr>
        <w:t>Article 2 : Organisation</w:t>
      </w:r>
    </w:p>
    <w:p w:rsidR="00510316" w:rsidRDefault="00510316" w:rsidP="00510316">
      <w:pPr>
        <w:pStyle w:val="Inhoudtabel"/>
        <w:numPr>
          <w:ilvl w:val="0"/>
          <w:numId w:val="2"/>
        </w:numPr>
      </w:pPr>
      <w:r>
        <w:t>L’</w:t>
      </w:r>
      <w:r w:rsidR="00791461">
        <w:t>ASBL SROR NAMUR</w:t>
      </w:r>
      <w:r>
        <w:t xml:space="preserve"> peut être considérée comme un Cercle de la SROR et garde ses pleines responsabilités d’ASBL (statuts, règlement d’ordre intérieur, bilan, assurance, ….).</w:t>
      </w:r>
    </w:p>
    <w:p w:rsidR="00510316" w:rsidRDefault="00510316" w:rsidP="00510316">
      <w:pPr>
        <w:pStyle w:val="Inhoudtabel"/>
        <w:numPr>
          <w:ilvl w:val="0"/>
          <w:numId w:val="2"/>
        </w:numPr>
      </w:pPr>
      <w:r>
        <w:t>La SROR transmet toutes les données concernant des membres potentiels dans la région à l’</w:t>
      </w:r>
      <w:r w:rsidR="00791461">
        <w:t>ASBL SROR NAMUR</w:t>
      </w:r>
    </w:p>
    <w:p w:rsidR="00510316" w:rsidRDefault="00510316" w:rsidP="00510316">
      <w:pPr>
        <w:pStyle w:val="Inhoudtabel"/>
      </w:pPr>
    </w:p>
    <w:p w:rsidR="00510316" w:rsidRDefault="005A129A" w:rsidP="00510316">
      <w:pPr>
        <w:pStyle w:val="Inhoudtabel"/>
        <w:spacing w:after="57"/>
      </w:pPr>
      <w:r>
        <w:rPr>
          <w:b/>
          <w:u w:val="single"/>
        </w:rPr>
        <w:t xml:space="preserve">Article 3 : </w:t>
      </w:r>
      <w:r w:rsidR="00510316">
        <w:rPr>
          <w:b/>
          <w:u w:val="single"/>
        </w:rPr>
        <w:t>Activités</w:t>
      </w:r>
    </w:p>
    <w:p w:rsidR="00510316" w:rsidRDefault="00510316" w:rsidP="00510316">
      <w:pPr>
        <w:pStyle w:val="Inhoudtabel"/>
        <w:ind w:left="709"/>
      </w:pPr>
      <w:r>
        <w:t>Les membres d’autres Cercles peuvent participer aux activités organisées par l’</w:t>
      </w:r>
      <w:r w:rsidR="00791461">
        <w:t>ASBL SROR NAMUR</w:t>
      </w:r>
      <w:r>
        <w:t xml:space="preserve"> </w:t>
      </w:r>
      <w:r>
        <w:br/>
        <w:t>La priorité sera toujours donnée aux membres du Cercle organisateur.</w:t>
      </w:r>
    </w:p>
    <w:p w:rsidR="00510316" w:rsidRDefault="00510316" w:rsidP="00510316">
      <w:pPr>
        <w:pStyle w:val="Inhoudtabel"/>
      </w:pPr>
    </w:p>
    <w:p w:rsidR="00510316" w:rsidRDefault="005A129A" w:rsidP="00510316">
      <w:pPr>
        <w:pStyle w:val="Inhoudtabel"/>
        <w:spacing w:after="57"/>
      </w:pPr>
      <w:r>
        <w:rPr>
          <w:b/>
          <w:u w:val="single"/>
        </w:rPr>
        <w:t xml:space="preserve">Article 4 : </w:t>
      </w:r>
      <w:proofErr w:type="spellStart"/>
      <w:r>
        <w:rPr>
          <w:b/>
          <w:u w:val="single"/>
        </w:rPr>
        <w:t>B</w:t>
      </w:r>
      <w:r w:rsidR="00510316">
        <w:rPr>
          <w:b/>
          <w:u w:val="single"/>
        </w:rPr>
        <w:t>ulletind'Information</w:t>
      </w:r>
      <w:proofErr w:type="spellEnd"/>
    </w:p>
    <w:p w:rsidR="00510316" w:rsidRDefault="00510316" w:rsidP="00510316">
      <w:pPr>
        <w:pStyle w:val="Inhoudtabel"/>
        <w:numPr>
          <w:ilvl w:val="0"/>
          <w:numId w:val="3"/>
        </w:numPr>
      </w:pPr>
      <w:r>
        <w:t>L’</w:t>
      </w:r>
      <w:r w:rsidR="00791461">
        <w:t>ASBL SROR NAMUR</w:t>
      </w:r>
      <w:r>
        <w:t xml:space="preserve"> peut publier  deux pages de communications dans le Bulletin d'Information de la SROR ASBL.</w:t>
      </w:r>
    </w:p>
    <w:p w:rsidR="00510316" w:rsidRDefault="00510316" w:rsidP="00510316">
      <w:pPr>
        <w:pStyle w:val="Inhoudtabel"/>
        <w:numPr>
          <w:ilvl w:val="0"/>
          <w:numId w:val="3"/>
        </w:numPr>
      </w:pPr>
      <w:r>
        <w:t>L’</w:t>
      </w:r>
      <w:r w:rsidR="00791461">
        <w:t>ASBL SROR NAMUR</w:t>
      </w:r>
      <w:r>
        <w:t xml:space="preserve"> </w:t>
      </w:r>
      <w:r>
        <w:t>enverra un exemplaire de sa publication périodique à l’administration nationale et à tous les Cercles de la SROR en Belgique.</w:t>
      </w:r>
    </w:p>
    <w:p w:rsidR="00510316" w:rsidRDefault="00510316" w:rsidP="00510316">
      <w:pPr>
        <w:pStyle w:val="Inhoudtabel"/>
      </w:pPr>
    </w:p>
    <w:p w:rsidR="00510316" w:rsidRDefault="00510316" w:rsidP="00510316">
      <w:pPr>
        <w:pStyle w:val="Inhoudtabel"/>
      </w:pPr>
    </w:p>
    <w:p w:rsidR="00510316" w:rsidRDefault="00510316" w:rsidP="00510316">
      <w:pPr>
        <w:pStyle w:val="Inhoudtabel"/>
        <w:spacing w:after="57"/>
      </w:pPr>
      <w:r>
        <w:rPr>
          <w:b/>
          <w:u w:val="single"/>
        </w:rPr>
        <w:t xml:space="preserve">Article 5 : Représentativité de l’ASBL  </w:t>
      </w:r>
      <w:r w:rsidRPr="00510316">
        <w:rPr>
          <w:b/>
          <w:u w:val="single"/>
        </w:rPr>
        <w:t>SROR NAMUR</w:t>
      </w:r>
      <w:r>
        <w:rPr>
          <w:b/>
          <w:u w:val="single"/>
        </w:rPr>
        <w:t xml:space="preserve">  au sein de la SROR ASBL</w:t>
      </w:r>
    </w:p>
    <w:p w:rsidR="00510316" w:rsidRDefault="00510316" w:rsidP="00510316">
      <w:pPr>
        <w:pStyle w:val="Inhoudtabel"/>
        <w:numPr>
          <w:ilvl w:val="0"/>
          <w:numId w:val="4"/>
        </w:numPr>
      </w:pPr>
      <w:r>
        <w:t>L’ASBL  SROR NAMUR a droit à être représentée par un administrateur au CA de la SROR ASBL, pour autant qu’il soit lui-même membre effectif de la SROR ASBL.</w:t>
      </w:r>
    </w:p>
    <w:p w:rsidR="00510316" w:rsidRDefault="00510316" w:rsidP="00510316">
      <w:pPr>
        <w:pStyle w:val="Inhoudtabel"/>
        <w:numPr>
          <w:ilvl w:val="0"/>
          <w:numId w:val="4"/>
        </w:numPr>
      </w:pPr>
      <w:r>
        <w:t>Sa candidature d’administrateur sera présentée à l’AG de la SROR suivant la durée du mandat,  fixée par les statuts de la SROR ASBL.</w:t>
      </w:r>
    </w:p>
    <w:p w:rsidR="00510316" w:rsidRDefault="00510316" w:rsidP="00510316">
      <w:pPr>
        <w:pStyle w:val="Inhoudtabel"/>
        <w:numPr>
          <w:ilvl w:val="0"/>
          <w:numId w:val="4"/>
        </w:numPr>
      </w:pPr>
      <w:r>
        <w:t>Les membres de l’</w:t>
      </w:r>
      <w:r w:rsidR="00791461">
        <w:t>ASBL SROR NAMUR</w:t>
      </w:r>
      <w:r>
        <w:t xml:space="preserve"> qui paient leurs cotisations à la SROR ASBL ont les droits attribués aux membres de cette association.</w:t>
      </w:r>
    </w:p>
    <w:p w:rsidR="00510316" w:rsidRDefault="00510316" w:rsidP="00510316">
      <w:pPr>
        <w:pStyle w:val="Inhoudtabel"/>
      </w:pPr>
    </w:p>
    <w:p w:rsidR="00510316" w:rsidRDefault="00510316" w:rsidP="00510316">
      <w:pPr>
        <w:pStyle w:val="Inhoudtabel"/>
      </w:pPr>
    </w:p>
    <w:p w:rsidR="00510316" w:rsidRDefault="00510316" w:rsidP="00510316">
      <w:pPr>
        <w:pStyle w:val="Inhoudtabel"/>
        <w:spacing w:after="57"/>
      </w:pPr>
      <w:r>
        <w:rPr>
          <w:b/>
          <w:u w:val="single"/>
        </w:rPr>
        <w:t>Article 6 : Financement  de l’</w:t>
      </w:r>
      <w:r w:rsidR="00791461">
        <w:rPr>
          <w:b/>
          <w:u w:val="single"/>
        </w:rPr>
        <w:t>ASBL SROR NAMUR</w:t>
      </w:r>
      <w:r>
        <w:rPr>
          <w:b/>
          <w:u w:val="single"/>
        </w:rPr>
        <w:t xml:space="preserve"> par la SROR ASBL</w:t>
      </w:r>
    </w:p>
    <w:p w:rsidR="00510316" w:rsidRDefault="00510316" w:rsidP="00510316">
      <w:pPr>
        <w:pStyle w:val="Inhoudtabel"/>
        <w:numPr>
          <w:ilvl w:val="0"/>
          <w:numId w:val="5"/>
        </w:numPr>
      </w:pPr>
      <w:r>
        <w:t>Pour chaque membre de l’ASBL  SROR NAMUR</w:t>
      </w:r>
      <w:r>
        <w:t xml:space="preserve"> q</w:t>
      </w:r>
      <w:r>
        <w:t>ui est membre de la SROR ASBL en règle de cotisation, l’</w:t>
      </w:r>
      <w:r w:rsidR="00791461">
        <w:t>ASBL SROR NAMUR</w:t>
      </w:r>
      <w:r>
        <w:t xml:space="preserve">  percevra de la SROR ASBL un montant forfaitaire fixé annuellement lors de l’AG statutaire de la SROR ASBL.</w:t>
      </w:r>
    </w:p>
    <w:p w:rsidR="00510316" w:rsidRDefault="00510316" w:rsidP="00510316">
      <w:pPr>
        <w:pStyle w:val="Inhoudtabel"/>
        <w:numPr>
          <w:ilvl w:val="0"/>
          <w:numId w:val="5"/>
        </w:numPr>
      </w:pPr>
      <w:r>
        <w:t>L’</w:t>
      </w:r>
      <w:r w:rsidR="00791461">
        <w:t>ASBL SROR NAMUR</w:t>
      </w:r>
      <w:r>
        <w:t xml:space="preserve"> recevra également un montant déterminé  annuellement par l'ASBL SROR en fonction du nombre annuel de participants à ses activités.</w:t>
      </w:r>
    </w:p>
    <w:p w:rsidR="00510316" w:rsidRDefault="00510316" w:rsidP="00510316">
      <w:pPr>
        <w:pStyle w:val="Inhoudtabel"/>
        <w:numPr>
          <w:ilvl w:val="0"/>
          <w:numId w:val="5"/>
        </w:numPr>
      </w:pPr>
      <w:r>
        <w:t>L’</w:t>
      </w:r>
      <w:r w:rsidR="00791461">
        <w:t>ASBL SROR NAMUR</w:t>
      </w:r>
      <w:r>
        <w:t xml:space="preserve">  est libre de fixer une cotisation supplémentaire.</w:t>
      </w:r>
    </w:p>
    <w:p w:rsidR="00510316" w:rsidRDefault="00510316" w:rsidP="00510316">
      <w:pPr>
        <w:pStyle w:val="Inhoudtabel"/>
      </w:pPr>
    </w:p>
    <w:p w:rsidR="00510316" w:rsidRDefault="00510316" w:rsidP="00510316">
      <w:pPr>
        <w:pStyle w:val="Inhoudtabel"/>
        <w:spacing w:after="57"/>
      </w:pPr>
      <w:r>
        <w:rPr>
          <w:b/>
          <w:u w:val="single"/>
        </w:rPr>
        <w:t>Article 7 : Durée de validité de la convention</w:t>
      </w:r>
    </w:p>
    <w:p w:rsidR="00510316" w:rsidRDefault="00510316" w:rsidP="00510316">
      <w:pPr>
        <w:pStyle w:val="Inhoudtabel"/>
        <w:numPr>
          <w:ilvl w:val="0"/>
          <w:numId w:val="6"/>
        </w:numPr>
      </w:pPr>
      <w:r>
        <w:t>Cette convention est valable pour une durée indéterminée et sera approuvée chaque année lors de l’AG des deux ASBL.</w:t>
      </w:r>
    </w:p>
    <w:p w:rsidR="00510316" w:rsidRDefault="00510316" w:rsidP="00510316">
      <w:pPr>
        <w:pStyle w:val="Inhoudtabel"/>
        <w:numPr>
          <w:ilvl w:val="0"/>
          <w:numId w:val="6"/>
        </w:numPr>
      </w:pPr>
      <w:r>
        <w:t>Cette convention peut être annulée par un des cosignataires après un délai d’un an à compter à partir de la date de la dernière AG statutaire de la SROR ASBL.</w:t>
      </w:r>
    </w:p>
    <w:p w:rsidR="005F5FA0" w:rsidRDefault="005F5FA0">
      <w:bookmarkStart w:id="0" w:name="_GoBack"/>
      <w:bookmarkEnd w:id="0"/>
    </w:p>
    <w:sectPr w:rsidR="005F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 w:val="0"/>
        <w:bCs w:val="0"/>
        <w:strike w:val="0"/>
        <w:dstrike w:val="0"/>
        <w:sz w:val="20"/>
        <w:szCs w:val="20"/>
        <w:lang w:val="fr-BE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  <w:rPr>
        <w:rFonts w:ascii="Times New Roman" w:hAnsi="Times New Roman" w:cs="Times New Roman"/>
        <w:b w:val="0"/>
        <w:bCs w:val="0"/>
        <w:sz w:val="20"/>
        <w:szCs w:val="20"/>
        <w:lang w:val="fr-BE"/>
      </w:r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  <w:rPr>
        <w:b w:val="0"/>
        <w:bCs w:val="0"/>
        <w:sz w:val="20"/>
        <w:szCs w:val="20"/>
        <w:shd w:val="clear" w:color="auto" w:fill="auto"/>
        <w:lang w:val="fr-BE"/>
      </w:r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  <w:rPr>
        <w:b w:val="0"/>
        <w:bCs w:val="0"/>
        <w:sz w:val="20"/>
        <w:szCs w:val="20"/>
        <w:lang w:val="fr-BE"/>
      </w:r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  <w:rPr>
        <w:b w:val="0"/>
        <w:bCs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  <w:rPr>
        <w:b w:val="0"/>
        <w:bCs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nl-B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16"/>
    <w:rsid w:val="00510316"/>
    <w:rsid w:val="005A129A"/>
    <w:rsid w:val="005F5FA0"/>
    <w:rsid w:val="00791461"/>
    <w:rsid w:val="00A0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6E919-0371-4D79-89A3-2D7C1DB4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houdtabel">
    <w:name w:val="Inhoud tabel"/>
    <w:basedOn w:val="Normal"/>
    <w:rsid w:val="00510316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Leenaers</dc:creator>
  <cp:keywords/>
  <dc:description/>
  <cp:lastModifiedBy>Michel Leenaers</cp:lastModifiedBy>
  <cp:revision>3</cp:revision>
  <dcterms:created xsi:type="dcterms:W3CDTF">2014-01-25T17:06:00Z</dcterms:created>
  <dcterms:modified xsi:type="dcterms:W3CDTF">2014-01-25T17:15:00Z</dcterms:modified>
</cp:coreProperties>
</file>